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16013" w:type="dxa"/>
        <w:shd w:val="clear" w:color="auto" w:fill="DBE5F1" w:themeFill="accent1" w:themeFillTint="33"/>
        <w:tblLook w:val="04A0" w:firstRow="1" w:lastRow="0" w:firstColumn="1" w:lastColumn="0" w:noHBand="0" w:noVBand="1"/>
      </w:tblPr>
      <w:tblGrid>
        <w:gridCol w:w="16013"/>
      </w:tblGrid>
      <w:tr w:rsidR="0072516A" w:rsidRPr="00226DD1" w14:paraId="6AAD8552" w14:textId="77777777" w:rsidTr="00C550FF">
        <w:trPr>
          <w:trHeight w:val="3251"/>
        </w:trPr>
        <w:tc>
          <w:tcPr>
            <w:tcW w:w="16013" w:type="dxa"/>
            <w:shd w:val="clear" w:color="auto" w:fill="DBE5F1" w:themeFill="accent1" w:themeFillTint="33"/>
          </w:tcPr>
          <w:p w14:paraId="360DD9D8" w14:textId="77777777" w:rsidR="008A4B22"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13DD90EF"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3627A499" w14:textId="5A554283" w:rsidR="006E47D0" w:rsidRDefault="006E47D0" w:rsidP="006E47D0">
            <w:pPr>
              <w:jc w:val="center"/>
              <w:rPr>
                <w:rFonts w:ascii="Arial" w:hAnsi="Arial" w:cs="Arial"/>
                <w:b/>
                <w:i/>
                <w:sz w:val="22"/>
                <w:szCs w:val="22"/>
              </w:rPr>
            </w:pPr>
            <w:r>
              <w:rPr>
                <w:rFonts w:ascii="Arial" w:hAnsi="Arial" w:cs="Arial"/>
                <w:b/>
                <w:i/>
                <w:sz w:val="22"/>
                <w:szCs w:val="22"/>
              </w:rPr>
              <w:t xml:space="preserve">LOT </w:t>
            </w:r>
            <w:r w:rsidR="004458AE">
              <w:rPr>
                <w:rFonts w:ascii="Arial" w:hAnsi="Arial" w:cs="Arial"/>
                <w:b/>
                <w:i/>
                <w:sz w:val="22"/>
                <w:szCs w:val="22"/>
              </w:rPr>
              <w:t>2</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5C556240" w14:textId="492A5D96"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Les délais maximums</w:t>
            </w:r>
            <w:r w:rsidR="0072187D">
              <w:rPr>
                <w:rFonts w:ascii="Arial" w:hAnsi="Arial" w:cs="Arial"/>
                <w:b/>
                <w:i/>
                <w:sz w:val="22"/>
                <w:szCs w:val="22"/>
              </w:rPr>
              <w:t xml:space="preserve"> ci-dessous</w:t>
            </w:r>
            <w:r>
              <w:rPr>
                <w:rFonts w:ascii="Arial" w:hAnsi="Arial" w:cs="Arial"/>
                <w:b/>
                <w:i/>
                <w:sz w:val="22"/>
                <w:szCs w:val="22"/>
              </w:rPr>
              <w:t xml:space="preserve"> sont imposés par l’</w:t>
            </w:r>
            <w:r w:rsidR="003B0152">
              <w:rPr>
                <w:rFonts w:ascii="Arial" w:hAnsi="Arial" w:cs="Arial"/>
                <w:b/>
                <w:i/>
                <w:sz w:val="22"/>
                <w:szCs w:val="22"/>
              </w:rPr>
              <w:t>U</w:t>
            </w:r>
            <w:r>
              <w:rPr>
                <w:rFonts w:ascii="Arial" w:hAnsi="Arial" w:cs="Arial"/>
                <w:b/>
                <w:i/>
                <w:sz w:val="22"/>
                <w:szCs w:val="22"/>
              </w:rPr>
              <w:t>niversité. Autrement dit :</w:t>
            </w:r>
          </w:p>
          <w:p w14:paraId="52A7083E" w14:textId="61A14FEB" w:rsidR="00AD26D0" w:rsidRDefault="00AD26D0" w:rsidP="006E47D0">
            <w:pPr>
              <w:jc w:val="both"/>
              <w:rPr>
                <w:rFonts w:ascii="Arial" w:hAnsi="Arial" w:cs="Arial"/>
                <w:b/>
                <w:i/>
                <w:sz w:val="22"/>
                <w:szCs w:val="22"/>
              </w:rPr>
            </w:pPr>
            <w:r>
              <w:rPr>
                <w:rFonts w:ascii="Arial" w:hAnsi="Arial" w:cs="Arial"/>
                <w:b/>
                <w:i/>
                <w:sz w:val="22"/>
                <w:szCs w:val="22"/>
              </w:rPr>
              <w:t xml:space="preserve">- </w:t>
            </w:r>
            <w:r w:rsidR="00C550FF">
              <w:rPr>
                <w:rFonts w:ascii="Arial" w:hAnsi="Arial" w:cs="Arial"/>
                <w:b/>
                <w:i/>
                <w:sz w:val="22"/>
                <w:szCs w:val="22"/>
              </w:rPr>
              <w:t>L</w:t>
            </w:r>
            <w:r>
              <w:rPr>
                <w:rFonts w:ascii="Arial" w:hAnsi="Arial" w:cs="Arial"/>
                <w:b/>
                <w:i/>
                <w:sz w:val="22"/>
                <w:szCs w:val="22"/>
              </w:rPr>
              <w:t>e candidat qui proposera</w:t>
            </w:r>
            <w:r w:rsidR="00BA5328">
              <w:rPr>
                <w:rFonts w:ascii="Arial" w:hAnsi="Arial" w:cs="Arial"/>
                <w:b/>
                <w:i/>
                <w:sz w:val="22"/>
                <w:szCs w:val="22"/>
              </w:rPr>
              <w:t>it</w:t>
            </w:r>
            <w:r>
              <w:rPr>
                <w:rFonts w:ascii="Arial" w:hAnsi="Arial" w:cs="Arial"/>
                <w:b/>
                <w:i/>
                <w:sz w:val="22"/>
                <w:szCs w:val="22"/>
              </w:rPr>
              <w:t xml:space="preserve"> des délais supérieurs à ces délais verra</w:t>
            </w:r>
            <w:r w:rsidR="00BA5328">
              <w:rPr>
                <w:rFonts w:ascii="Arial" w:hAnsi="Arial" w:cs="Arial"/>
                <w:b/>
                <w:i/>
                <w:sz w:val="22"/>
                <w:szCs w:val="22"/>
              </w:rPr>
              <w:t>it</w:t>
            </w:r>
            <w:r>
              <w:rPr>
                <w:rFonts w:ascii="Arial" w:hAnsi="Arial" w:cs="Arial"/>
                <w:b/>
                <w:i/>
                <w:sz w:val="22"/>
                <w:szCs w:val="22"/>
              </w:rPr>
              <w:t xml:space="preserve"> son offre déclarée irrégulière</w:t>
            </w:r>
            <w:r w:rsidR="0072187D">
              <w:rPr>
                <w:rFonts w:ascii="Arial" w:hAnsi="Arial" w:cs="Arial"/>
                <w:b/>
                <w:i/>
                <w:sz w:val="22"/>
                <w:szCs w:val="22"/>
              </w:rPr>
              <w:t xml:space="preserve"> et éliminée</w:t>
            </w:r>
            <w:r w:rsidR="003B0152">
              <w:rPr>
                <w:rFonts w:ascii="Arial" w:hAnsi="Arial" w:cs="Arial"/>
                <w:b/>
                <w:i/>
                <w:sz w:val="22"/>
                <w:szCs w:val="22"/>
              </w:rPr>
              <w:t> ;</w:t>
            </w:r>
          </w:p>
          <w:p w14:paraId="6CF407F0" w14:textId="4B5E9CB2" w:rsidR="00AD26D0" w:rsidRDefault="00AD26D0" w:rsidP="006E47D0">
            <w:pPr>
              <w:jc w:val="both"/>
              <w:rPr>
                <w:rFonts w:ascii="Arial" w:hAnsi="Arial" w:cs="Arial"/>
                <w:b/>
                <w:i/>
                <w:sz w:val="22"/>
                <w:szCs w:val="22"/>
              </w:rPr>
            </w:pPr>
            <w:r>
              <w:rPr>
                <w:rFonts w:ascii="Arial" w:hAnsi="Arial" w:cs="Arial"/>
                <w:b/>
                <w:i/>
                <w:sz w:val="22"/>
                <w:szCs w:val="22"/>
              </w:rPr>
              <w:t xml:space="preserve">- </w:t>
            </w:r>
            <w:r w:rsidR="00BA5328" w:rsidRPr="00BA5328">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3B0152">
              <w:rPr>
                <w:rFonts w:ascii="Arial" w:hAnsi="Arial" w:cs="Arial"/>
                <w:b/>
                <w:i/>
                <w:sz w:val="22"/>
                <w:szCs w:val="22"/>
              </w:rPr>
              <w:t> ;</w:t>
            </w:r>
          </w:p>
          <w:p w14:paraId="2EBB836C" w14:textId="48253D84" w:rsidR="00EA369A" w:rsidRPr="00AB7DD2" w:rsidRDefault="00AD26D0" w:rsidP="00AB7DD2">
            <w:pPr>
              <w:jc w:val="both"/>
              <w:rPr>
                <w:rFonts w:ascii="Arial" w:hAnsi="Arial" w:cs="Arial"/>
                <w:b/>
                <w:i/>
                <w:sz w:val="22"/>
                <w:szCs w:val="22"/>
              </w:rPr>
            </w:pPr>
            <w:r>
              <w:rPr>
                <w:rFonts w:ascii="Arial" w:hAnsi="Arial" w:cs="Arial"/>
                <w:b/>
                <w:i/>
                <w:sz w:val="22"/>
                <w:szCs w:val="22"/>
              </w:rPr>
              <w:t xml:space="preserve">- </w:t>
            </w:r>
            <w:r w:rsidR="00C550FF">
              <w:rPr>
                <w:rFonts w:ascii="Arial" w:hAnsi="Arial" w:cs="Arial"/>
                <w:b/>
                <w:i/>
                <w:sz w:val="22"/>
                <w:szCs w:val="22"/>
              </w:rPr>
              <w:t>L</w:t>
            </w:r>
            <w:r>
              <w:rPr>
                <w:rFonts w:ascii="Arial" w:hAnsi="Arial" w:cs="Arial"/>
                <w:b/>
                <w:i/>
                <w:sz w:val="22"/>
                <w:szCs w:val="22"/>
              </w:rPr>
              <w:t>e candidat qui proposera</w:t>
            </w:r>
            <w:r w:rsidR="00DE460A">
              <w:rPr>
                <w:rFonts w:ascii="Arial" w:hAnsi="Arial" w:cs="Arial"/>
                <w:b/>
                <w:i/>
                <w:sz w:val="22"/>
                <w:szCs w:val="22"/>
              </w:rPr>
              <w:t>it</w:t>
            </w:r>
            <w:r>
              <w:rPr>
                <w:rFonts w:ascii="Arial" w:hAnsi="Arial" w:cs="Arial"/>
                <w:b/>
                <w:i/>
                <w:sz w:val="22"/>
                <w:szCs w:val="22"/>
              </w:rPr>
              <w:t xml:space="preserve"> des délais inférieurs aux délais maximums verra</w:t>
            </w:r>
            <w:r w:rsidR="00DE460A">
              <w:rPr>
                <w:rFonts w:ascii="Arial" w:hAnsi="Arial" w:cs="Arial"/>
                <w:b/>
                <w:i/>
                <w:sz w:val="22"/>
                <w:szCs w:val="22"/>
              </w:rPr>
              <w:t>it</w:t>
            </w:r>
            <w:r>
              <w:rPr>
                <w:rFonts w:ascii="Arial" w:hAnsi="Arial" w:cs="Arial"/>
                <w:b/>
                <w:i/>
                <w:sz w:val="22"/>
                <w:szCs w:val="22"/>
              </w:rPr>
              <w:t xml:space="preserve"> son offre valorisée dans le cadre du critère </w:t>
            </w:r>
            <w:r w:rsidR="004E7F68">
              <w:rPr>
                <w:rFonts w:ascii="Arial" w:hAnsi="Arial" w:cs="Arial"/>
                <w:b/>
                <w:i/>
                <w:sz w:val="22"/>
                <w:szCs w:val="22"/>
              </w:rPr>
              <w:t>B</w:t>
            </w:r>
            <w:r w:rsidR="003B0152">
              <w:rPr>
                <w:rFonts w:ascii="Arial" w:hAnsi="Arial" w:cs="Arial"/>
                <w:b/>
                <w:i/>
                <w:sz w:val="22"/>
                <w:szCs w:val="22"/>
              </w:rPr>
              <w:t>.</w:t>
            </w:r>
            <w:bookmarkEnd w:id="0"/>
            <w:r w:rsidR="00287737">
              <w:rPr>
                <w:rFonts w:ascii="Arial" w:hAnsi="Arial" w:cs="Arial"/>
                <w:b/>
                <w:i/>
                <w:sz w:val="22"/>
                <w:szCs w:val="22"/>
              </w:rPr>
              <w:t xml:space="preserve"> </w:t>
            </w:r>
            <w:r w:rsidR="00287737" w:rsidRPr="003F4E48">
              <w:rPr>
                <w:rFonts w:ascii="Arial" w:hAnsi="Arial" w:cs="Arial"/>
                <w:b/>
                <w:i/>
                <w:sz w:val="22"/>
                <w:szCs w:val="22"/>
              </w:rPr>
              <w:t xml:space="preserve"> Le</w:t>
            </w:r>
            <w:r w:rsidR="00287737">
              <w:rPr>
                <w:rFonts w:ascii="Arial" w:hAnsi="Arial" w:cs="Arial"/>
                <w:b/>
                <w:i/>
                <w:sz w:val="22"/>
                <w:szCs w:val="22"/>
              </w:rPr>
              <w:t>s</w:t>
            </w:r>
            <w:r w:rsidR="00287737" w:rsidRPr="003F4E48">
              <w:rPr>
                <w:rFonts w:ascii="Arial" w:hAnsi="Arial" w:cs="Arial"/>
                <w:b/>
                <w:i/>
                <w:sz w:val="22"/>
                <w:szCs w:val="22"/>
              </w:rPr>
              <w:t xml:space="preserve"> délai</w:t>
            </w:r>
            <w:r w:rsidR="00287737">
              <w:rPr>
                <w:rFonts w:ascii="Arial" w:hAnsi="Arial" w:cs="Arial"/>
                <w:b/>
                <w:i/>
                <w:sz w:val="22"/>
                <w:szCs w:val="22"/>
              </w:rPr>
              <w:t>s</w:t>
            </w:r>
            <w:r w:rsidR="00287737" w:rsidRPr="003F4E48">
              <w:rPr>
                <w:rFonts w:ascii="Arial" w:hAnsi="Arial" w:cs="Arial"/>
                <w:b/>
                <w:i/>
                <w:sz w:val="22"/>
                <w:szCs w:val="22"/>
              </w:rPr>
              <w:t xml:space="preserve"> inférieur</w:t>
            </w:r>
            <w:r w:rsidR="00287737">
              <w:rPr>
                <w:rFonts w:ascii="Arial" w:hAnsi="Arial" w:cs="Arial"/>
                <w:b/>
                <w:i/>
                <w:sz w:val="22"/>
                <w:szCs w:val="22"/>
              </w:rPr>
              <w:t>s</w:t>
            </w:r>
            <w:r w:rsidR="00287737" w:rsidRPr="003F4E48">
              <w:rPr>
                <w:rFonts w:ascii="Arial" w:hAnsi="Arial" w:cs="Arial"/>
                <w:b/>
                <w:i/>
                <w:sz w:val="22"/>
                <w:szCs w:val="22"/>
              </w:rPr>
              <w:t xml:space="preserve"> au</w:t>
            </w:r>
            <w:r w:rsidR="00287737">
              <w:rPr>
                <w:rFonts w:ascii="Arial" w:hAnsi="Arial" w:cs="Arial"/>
                <w:b/>
                <w:i/>
                <w:sz w:val="22"/>
                <w:szCs w:val="22"/>
              </w:rPr>
              <w:t>x</w:t>
            </w:r>
            <w:r w:rsidR="00287737" w:rsidRPr="003F4E48">
              <w:rPr>
                <w:rFonts w:ascii="Arial" w:hAnsi="Arial" w:cs="Arial"/>
                <w:b/>
                <w:i/>
                <w:sz w:val="22"/>
                <w:szCs w:val="22"/>
              </w:rPr>
              <w:t xml:space="preserve"> délai</w:t>
            </w:r>
            <w:r w:rsidR="00287737">
              <w:rPr>
                <w:rFonts w:ascii="Arial" w:hAnsi="Arial" w:cs="Arial"/>
                <w:b/>
                <w:i/>
                <w:sz w:val="22"/>
                <w:szCs w:val="22"/>
              </w:rPr>
              <w:t>s</w:t>
            </w:r>
            <w:r w:rsidR="00287737" w:rsidRPr="003F4E48">
              <w:rPr>
                <w:rFonts w:ascii="Arial" w:hAnsi="Arial" w:cs="Arial"/>
                <w:b/>
                <w:i/>
                <w:sz w:val="22"/>
                <w:szCs w:val="22"/>
              </w:rPr>
              <w:t xml:space="preserve"> maximum</w:t>
            </w:r>
            <w:r w:rsidR="00287737">
              <w:rPr>
                <w:rFonts w:ascii="Arial" w:hAnsi="Arial" w:cs="Arial"/>
                <w:b/>
                <w:i/>
                <w:sz w:val="22"/>
                <w:szCs w:val="22"/>
              </w:rPr>
              <w:t>s</w:t>
            </w:r>
            <w:r w:rsidR="00287737" w:rsidRPr="003F4E48">
              <w:rPr>
                <w:rFonts w:ascii="Arial" w:hAnsi="Arial" w:cs="Arial"/>
                <w:b/>
                <w:i/>
                <w:sz w:val="22"/>
                <w:szCs w:val="22"/>
              </w:rPr>
              <w:t xml:space="preserve"> imposé</w:t>
            </w:r>
            <w:r w:rsidR="00287737">
              <w:rPr>
                <w:rFonts w:ascii="Arial" w:hAnsi="Arial" w:cs="Arial"/>
                <w:b/>
                <w:i/>
                <w:sz w:val="22"/>
                <w:szCs w:val="22"/>
              </w:rPr>
              <w:t>s</w:t>
            </w:r>
            <w:r w:rsidR="00287737" w:rsidRPr="003F4E48">
              <w:rPr>
                <w:rFonts w:ascii="Arial" w:hAnsi="Arial" w:cs="Arial"/>
                <w:b/>
                <w:i/>
                <w:sz w:val="22"/>
                <w:szCs w:val="22"/>
              </w:rPr>
              <w:t xml:space="preserve"> s’y substitue</w:t>
            </w:r>
            <w:r w:rsidR="00287737">
              <w:rPr>
                <w:rFonts w:ascii="Arial" w:hAnsi="Arial" w:cs="Arial"/>
                <w:b/>
                <w:i/>
                <w:sz w:val="22"/>
                <w:szCs w:val="22"/>
              </w:rPr>
              <w:t>nt</w:t>
            </w:r>
            <w:r w:rsidR="00287737" w:rsidRPr="003F4E48">
              <w:rPr>
                <w:rFonts w:ascii="Arial" w:hAnsi="Arial" w:cs="Arial"/>
                <w:b/>
                <w:i/>
                <w:sz w:val="22"/>
                <w:szCs w:val="22"/>
              </w:rPr>
              <w:t xml:space="preserve"> et devien</w:t>
            </w:r>
            <w:r w:rsidR="00287737">
              <w:rPr>
                <w:rFonts w:ascii="Arial" w:hAnsi="Arial" w:cs="Arial"/>
                <w:b/>
                <w:i/>
                <w:sz w:val="22"/>
                <w:szCs w:val="22"/>
              </w:rPr>
              <w:t>nen</w:t>
            </w:r>
            <w:r w:rsidR="00287737" w:rsidRPr="003F4E48">
              <w:rPr>
                <w:rFonts w:ascii="Arial" w:hAnsi="Arial" w:cs="Arial"/>
                <w:b/>
                <w:i/>
                <w:sz w:val="22"/>
                <w:szCs w:val="22"/>
              </w:rPr>
              <w:t>t alors contractuel</w:t>
            </w:r>
            <w:r w:rsidR="00287737">
              <w:rPr>
                <w:rFonts w:ascii="Arial" w:hAnsi="Arial" w:cs="Arial"/>
                <w:b/>
                <w:i/>
                <w:sz w:val="22"/>
                <w:szCs w:val="22"/>
              </w:rPr>
              <w:t>s</w:t>
            </w:r>
            <w:r w:rsidR="00287737" w:rsidRPr="003F4E48">
              <w:rPr>
                <w:rFonts w:ascii="Arial" w:hAnsi="Arial" w:cs="Arial"/>
                <w:b/>
                <w:i/>
                <w:sz w:val="22"/>
                <w:szCs w:val="22"/>
              </w:rPr>
              <w:t>.</w:t>
            </w:r>
          </w:p>
        </w:tc>
      </w:tr>
    </w:tbl>
    <w:p w14:paraId="6768967C" w14:textId="77777777" w:rsidR="00F631E1" w:rsidRDefault="00F631E1" w:rsidP="00085DA1">
      <w:pPr>
        <w:tabs>
          <w:tab w:val="center" w:pos="6521"/>
        </w:tabs>
        <w:rPr>
          <w:rFonts w:ascii="Arial" w:hAnsi="Arial" w:cs="Arial"/>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508"/>
        <w:gridCol w:w="3686"/>
        <w:gridCol w:w="3686"/>
      </w:tblGrid>
      <w:tr w:rsidR="006F574A" w14:paraId="59CB2149" w14:textId="11BEA7EA" w:rsidTr="006F574A">
        <w:trPr>
          <w:trHeight w:val="181"/>
          <w:jc w:val="center"/>
        </w:trPr>
        <w:tc>
          <w:tcPr>
            <w:tcW w:w="7508" w:type="dxa"/>
            <w:vAlign w:val="center"/>
          </w:tcPr>
          <w:p w14:paraId="024D6179" w14:textId="77777777" w:rsidR="006F574A" w:rsidRDefault="006F574A" w:rsidP="00AB7DD2">
            <w:pPr>
              <w:pStyle w:val="TableParagraph"/>
              <w:spacing w:before="1"/>
              <w:ind w:left="14" w:right="4"/>
              <w:jc w:val="center"/>
              <w:rPr>
                <w:rFonts w:ascii="Arial"/>
                <w:b/>
              </w:rPr>
            </w:pPr>
            <w:r>
              <w:rPr>
                <w:rFonts w:ascii="Arial"/>
                <w:b/>
                <w:spacing w:val="-2"/>
              </w:rPr>
              <w:t>France</w:t>
            </w:r>
          </w:p>
        </w:tc>
        <w:tc>
          <w:tcPr>
            <w:tcW w:w="3686" w:type="dxa"/>
            <w:vAlign w:val="center"/>
          </w:tcPr>
          <w:p w14:paraId="6DA12310" w14:textId="7DC0314F" w:rsidR="006F574A" w:rsidRDefault="006F574A" w:rsidP="00AB7DD2">
            <w:pPr>
              <w:pStyle w:val="TableParagraph"/>
              <w:spacing w:line="360" w:lineRule="exact"/>
              <w:ind w:left="0"/>
              <w:jc w:val="center"/>
              <w:rPr>
                <w:rFonts w:ascii="Arial" w:hAnsi="Arial"/>
                <w:b/>
                <w:sz w:val="18"/>
              </w:rPr>
            </w:pPr>
            <w:r>
              <w:rPr>
                <w:rFonts w:ascii="Arial" w:hAnsi="Arial"/>
                <w:b/>
                <w:sz w:val="18"/>
              </w:rPr>
              <w:t>Délais maximums fixés</w:t>
            </w:r>
            <w:r>
              <w:rPr>
                <w:rFonts w:ascii="Arial" w:hAnsi="Arial"/>
                <w:b/>
                <w:spacing w:val="-15"/>
                <w:sz w:val="18"/>
              </w:rPr>
              <w:t xml:space="preserve"> </w:t>
            </w:r>
            <w:r>
              <w:rPr>
                <w:rFonts w:ascii="Arial" w:hAnsi="Arial"/>
                <w:b/>
                <w:sz w:val="18"/>
              </w:rPr>
              <w:t>par</w:t>
            </w:r>
            <w:r>
              <w:rPr>
                <w:rFonts w:ascii="Arial" w:hAnsi="Arial"/>
                <w:b/>
                <w:spacing w:val="-12"/>
                <w:sz w:val="18"/>
              </w:rPr>
              <w:t xml:space="preserve"> </w:t>
            </w:r>
            <w:r>
              <w:rPr>
                <w:rFonts w:ascii="Arial" w:hAnsi="Arial"/>
                <w:b/>
                <w:sz w:val="18"/>
              </w:rPr>
              <w:t>l’Université</w:t>
            </w:r>
          </w:p>
        </w:tc>
        <w:tc>
          <w:tcPr>
            <w:tcW w:w="3686" w:type="dxa"/>
            <w:vAlign w:val="center"/>
          </w:tcPr>
          <w:p w14:paraId="5A3C806B" w14:textId="51309178" w:rsidR="006F574A" w:rsidRDefault="006F574A" w:rsidP="00AB7DD2">
            <w:pPr>
              <w:pStyle w:val="TableParagraph"/>
              <w:spacing w:line="360" w:lineRule="exact"/>
              <w:ind w:left="0"/>
              <w:jc w:val="center"/>
              <w:rPr>
                <w:rFonts w:ascii="Arial" w:hAnsi="Arial"/>
                <w:b/>
                <w:sz w:val="18"/>
              </w:rPr>
            </w:pPr>
            <w:r>
              <w:rPr>
                <w:rFonts w:ascii="Arial" w:hAnsi="Arial"/>
                <w:b/>
                <w:sz w:val="18"/>
              </w:rPr>
              <w:t>Délais proposés par le candidat</w:t>
            </w:r>
          </w:p>
        </w:tc>
      </w:tr>
      <w:tr w:rsidR="006F574A" w14:paraId="3DF765A0" w14:textId="6D0716D8" w:rsidTr="006F574A">
        <w:trPr>
          <w:trHeight w:val="1080"/>
          <w:jc w:val="center"/>
        </w:trPr>
        <w:tc>
          <w:tcPr>
            <w:tcW w:w="7508" w:type="dxa"/>
            <w:vAlign w:val="center"/>
          </w:tcPr>
          <w:p w14:paraId="15D934F4" w14:textId="4E4BB785" w:rsidR="006F574A" w:rsidRDefault="006F574A" w:rsidP="006F574A">
            <w:pPr>
              <w:pStyle w:val="TableParagraph"/>
              <w:spacing w:before="152" w:line="417" w:lineRule="auto"/>
              <w:ind w:right="56"/>
              <w:rPr>
                <w:sz w:val="18"/>
              </w:rPr>
            </w:pPr>
            <w:r>
              <w:rPr>
                <w:sz w:val="18"/>
              </w:rPr>
              <w:t xml:space="preserve">Délais de livraison en jours calendaires d’une </w:t>
            </w:r>
            <w:r>
              <w:rPr>
                <w:rFonts w:ascii="Arial" w:hAnsi="Arial"/>
                <w:b/>
                <w:sz w:val="18"/>
              </w:rPr>
              <w:t xml:space="preserve">commande ordinaire </w:t>
            </w:r>
            <w:r>
              <w:rPr>
                <w:sz w:val="18"/>
                <w:u w:val="single"/>
              </w:rPr>
              <w:t>à compter de la date de réception</w:t>
            </w:r>
            <w:r>
              <w:rPr>
                <w:sz w:val="18"/>
              </w:rPr>
              <w:t xml:space="preserve"> </w:t>
            </w:r>
            <w:r>
              <w:rPr>
                <w:sz w:val="18"/>
                <w:u w:val="single"/>
              </w:rPr>
              <w:t>du</w:t>
            </w:r>
            <w:r>
              <w:rPr>
                <w:spacing w:val="46"/>
                <w:sz w:val="18"/>
                <w:u w:val="single"/>
              </w:rPr>
              <w:t xml:space="preserve"> </w:t>
            </w:r>
            <w:r>
              <w:rPr>
                <w:sz w:val="18"/>
                <w:u w:val="single"/>
              </w:rPr>
              <w:t>bon</w:t>
            </w:r>
            <w:r>
              <w:rPr>
                <w:spacing w:val="45"/>
                <w:sz w:val="18"/>
                <w:u w:val="single"/>
              </w:rPr>
              <w:t xml:space="preserve"> </w:t>
            </w:r>
            <w:r>
              <w:rPr>
                <w:sz w:val="18"/>
                <w:u w:val="single"/>
              </w:rPr>
              <w:t>de</w:t>
            </w:r>
            <w:r>
              <w:rPr>
                <w:spacing w:val="46"/>
                <w:sz w:val="18"/>
                <w:u w:val="single"/>
              </w:rPr>
              <w:t xml:space="preserve"> </w:t>
            </w:r>
            <w:r>
              <w:rPr>
                <w:sz w:val="18"/>
                <w:u w:val="single"/>
              </w:rPr>
              <w:t>commande</w:t>
            </w:r>
            <w:r>
              <w:rPr>
                <w:spacing w:val="50"/>
                <w:sz w:val="18"/>
              </w:rPr>
              <w:t xml:space="preserve"> </w:t>
            </w:r>
            <w:r>
              <w:rPr>
                <w:sz w:val="18"/>
              </w:rPr>
              <w:t>jusqu’à</w:t>
            </w:r>
            <w:r>
              <w:rPr>
                <w:spacing w:val="48"/>
                <w:sz w:val="18"/>
              </w:rPr>
              <w:t xml:space="preserve"> </w:t>
            </w:r>
            <w:r>
              <w:rPr>
                <w:sz w:val="18"/>
              </w:rPr>
              <w:t>la</w:t>
            </w:r>
            <w:r>
              <w:rPr>
                <w:spacing w:val="46"/>
                <w:sz w:val="18"/>
              </w:rPr>
              <w:t xml:space="preserve"> </w:t>
            </w:r>
            <w:r>
              <w:rPr>
                <w:sz w:val="18"/>
              </w:rPr>
              <w:t>livraison</w:t>
            </w:r>
            <w:r>
              <w:rPr>
                <w:spacing w:val="45"/>
                <w:sz w:val="18"/>
              </w:rPr>
              <w:t xml:space="preserve"> </w:t>
            </w:r>
            <w:r>
              <w:rPr>
                <w:sz w:val="18"/>
              </w:rPr>
              <w:t>dans</w:t>
            </w:r>
            <w:r>
              <w:rPr>
                <w:spacing w:val="46"/>
                <w:sz w:val="18"/>
              </w:rPr>
              <w:t xml:space="preserve"> </w:t>
            </w:r>
            <w:r>
              <w:rPr>
                <w:sz w:val="18"/>
              </w:rPr>
              <w:t>les</w:t>
            </w:r>
            <w:r>
              <w:rPr>
                <w:spacing w:val="47"/>
                <w:sz w:val="18"/>
              </w:rPr>
              <w:t xml:space="preserve"> </w:t>
            </w:r>
            <w:r>
              <w:rPr>
                <w:sz w:val="18"/>
              </w:rPr>
              <w:t>locaux</w:t>
            </w:r>
            <w:r>
              <w:rPr>
                <w:spacing w:val="44"/>
                <w:sz w:val="18"/>
              </w:rPr>
              <w:t xml:space="preserve"> </w:t>
            </w:r>
            <w:r>
              <w:rPr>
                <w:sz w:val="18"/>
              </w:rPr>
              <w:t>de</w:t>
            </w:r>
            <w:r>
              <w:rPr>
                <w:spacing w:val="48"/>
                <w:sz w:val="18"/>
              </w:rPr>
              <w:t xml:space="preserve"> </w:t>
            </w:r>
            <w:r>
              <w:rPr>
                <w:sz w:val="18"/>
              </w:rPr>
              <w:t>l’Université,</w:t>
            </w:r>
            <w:r>
              <w:rPr>
                <w:spacing w:val="52"/>
                <w:sz w:val="18"/>
              </w:rPr>
              <w:t xml:space="preserve"> </w:t>
            </w:r>
            <w:r>
              <w:rPr>
                <w:sz w:val="18"/>
              </w:rPr>
              <w:t>à</w:t>
            </w:r>
            <w:r>
              <w:rPr>
                <w:spacing w:val="48"/>
                <w:sz w:val="18"/>
              </w:rPr>
              <w:t xml:space="preserve"> </w:t>
            </w:r>
            <w:r>
              <w:rPr>
                <w:sz w:val="18"/>
              </w:rPr>
              <w:t>l’exception</w:t>
            </w:r>
            <w:r>
              <w:rPr>
                <w:spacing w:val="45"/>
                <w:sz w:val="18"/>
              </w:rPr>
              <w:t xml:space="preserve"> </w:t>
            </w:r>
            <w:r>
              <w:rPr>
                <w:sz w:val="18"/>
              </w:rPr>
              <w:t>des</w:t>
            </w:r>
            <w:r>
              <w:rPr>
                <w:spacing w:val="50"/>
                <w:sz w:val="18"/>
              </w:rPr>
              <w:t xml:space="preserve"> </w:t>
            </w:r>
            <w:r>
              <w:rPr>
                <w:spacing w:val="-5"/>
                <w:sz w:val="18"/>
              </w:rPr>
              <w:t xml:space="preserve">cas </w:t>
            </w:r>
            <w:r>
              <w:rPr>
                <w:sz w:val="18"/>
              </w:rPr>
              <w:t>suivants</w:t>
            </w:r>
            <w:r>
              <w:rPr>
                <w:spacing w:val="-3"/>
                <w:sz w:val="18"/>
              </w:rPr>
              <w:t xml:space="preserve"> </w:t>
            </w:r>
            <w:r>
              <w:rPr>
                <w:sz w:val="18"/>
              </w:rPr>
              <w:t>:</w:t>
            </w:r>
            <w:r>
              <w:rPr>
                <w:spacing w:val="-4"/>
                <w:sz w:val="18"/>
              </w:rPr>
              <w:t xml:space="preserve"> </w:t>
            </w:r>
            <w:r>
              <w:rPr>
                <w:sz w:val="18"/>
              </w:rPr>
              <w:t>ouvrage</w:t>
            </w:r>
            <w:r>
              <w:rPr>
                <w:spacing w:val="-4"/>
                <w:sz w:val="18"/>
              </w:rPr>
              <w:t xml:space="preserve"> </w:t>
            </w:r>
            <w:r>
              <w:rPr>
                <w:sz w:val="18"/>
              </w:rPr>
              <w:t>à</w:t>
            </w:r>
            <w:r>
              <w:rPr>
                <w:spacing w:val="-2"/>
                <w:sz w:val="18"/>
              </w:rPr>
              <w:t xml:space="preserve"> </w:t>
            </w:r>
            <w:r>
              <w:rPr>
                <w:sz w:val="18"/>
              </w:rPr>
              <w:t>paraitre,</w:t>
            </w:r>
            <w:r>
              <w:rPr>
                <w:spacing w:val="-4"/>
                <w:sz w:val="18"/>
              </w:rPr>
              <w:t xml:space="preserve"> </w:t>
            </w:r>
            <w:r>
              <w:rPr>
                <w:sz w:val="18"/>
              </w:rPr>
              <w:t>en</w:t>
            </w:r>
            <w:r>
              <w:rPr>
                <w:spacing w:val="-3"/>
                <w:sz w:val="18"/>
              </w:rPr>
              <w:t xml:space="preserve"> </w:t>
            </w:r>
            <w:r>
              <w:rPr>
                <w:sz w:val="18"/>
              </w:rPr>
              <w:t>rupture</w:t>
            </w:r>
            <w:r>
              <w:rPr>
                <w:spacing w:val="-4"/>
                <w:sz w:val="18"/>
              </w:rPr>
              <w:t xml:space="preserve"> </w:t>
            </w:r>
            <w:r>
              <w:rPr>
                <w:sz w:val="18"/>
              </w:rPr>
              <w:t>de</w:t>
            </w:r>
            <w:r>
              <w:rPr>
                <w:spacing w:val="-2"/>
                <w:sz w:val="18"/>
              </w:rPr>
              <w:t xml:space="preserve"> </w:t>
            </w:r>
            <w:r>
              <w:rPr>
                <w:sz w:val="18"/>
              </w:rPr>
              <w:t>stock,</w:t>
            </w:r>
            <w:r>
              <w:rPr>
                <w:spacing w:val="-4"/>
                <w:sz w:val="18"/>
              </w:rPr>
              <w:t xml:space="preserve"> </w:t>
            </w:r>
            <w:r>
              <w:rPr>
                <w:sz w:val="18"/>
              </w:rPr>
              <w:t>en</w:t>
            </w:r>
            <w:r>
              <w:rPr>
                <w:spacing w:val="-2"/>
                <w:sz w:val="18"/>
              </w:rPr>
              <w:t xml:space="preserve"> </w:t>
            </w:r>
            <w:r>
              <w:rPr>
                <w:sz w:val="18"/>
              </w:rPr>
              <w:t>réimpression,</w:t>
            </w:r>
            <w:r>
              <w:rPr>
                <w:spacing w:val="-4"/>
                <w:sz w:val="18"/>
              </w:rPr>
              <w:t xml:space="preserve"> </w:t>
            </w:r>
            <w:r>
              <w:rPr>
                <w:spacing w:val="-2"/>
                <w:sz w:val="18"/>
              </w:rPr>
              <w:t>épuisé</w:t>
            </w:r>
          </w:p>
        </w:tc>
        <w:tc>
          <w:tcPr>
            <w:tcW w:w="3686" w:type="dxa"/>
            <w:vAlign w:val="center"/>
          </w:tcPr>
          <w:p w14:paraId="7CB4C506" w14:textId="77777777" w:rsidR="006F574A" w:rsidRDefault="006F574A" w:rsidP="004279DA">
            <w:pPr>
              <w:pStyle w:val="TableParagraph"/>
              <w:ind w:left="9" w:right="1"/>
              <w:jc w:val="center"/>
              <w:rPr>
                <w:sz w:val="18"/>
              </w:rPr>
            </w:pPr>
            <w:r>
              <w:rPr>
                <w:sz w:val="18"/>
              </w:rPr>
              <w:t>25</w:t>
            </w:r>
            <w:r>
              <w:rPr>
                <w:spacing w:val="-4"/>
                <w:sz w:val="18"/>
              </w:rPr>
              <w:t xml:space="preserve"> </w:t>
            </w:r>
            <w:r>
              <w:rPr>
                <w:spacing w:val="-2"/>
                <w:sz w:val="18"/>
              </w:rPr>
              <w:t>jours</w:t>
            </w:r>
          </w:p>
        </w:tc>
        <w:tc>
          <w:tcPr>
            <w:tcW w:w="3686" w:type="dxa"/>
            <w:vAlign w:val="center"/>
          </w:tcPr>
          <w:p w14:paraId="44045853" w14:textId="77777777" w:rsidR="006F574A" w:rsidRDefault="006F574A" w:rsidP="004279DA">
            <w:pPr>
              <w:pStyle w:val="TableParagraph"/>
              <w:ind w:left="9" w:right="1"/>
              <w:jc w:val="center"/>
              <w:rPr>
                <w:sz w:val="18"/>
              </w:rPr>
            </w:pPr>
          </w:p>
        </w:tc>
      </w:tr>
      <w:tr w:rsidR="006F574A" w14:paraId="045330A6" w14:textId="3369A917" w:rsidTr="006F574A">
        <w:trPr>
          <w:trHeight w:val="1079"/>
          <w:jc w:val="center"/>
        </w:trPr>
        <w:tc>
          <w:tcPr>
            <w:tcW w:w="7508" w:type="dxa"/>
            <w:vAlign w:val="center"/>
          </w:tcPr>
          <w:p w14:paraId="57027B13" w14:textId="77777777" w:rsidR="006F574A" w:rsidRDefault="006F574A" w:rsidP="004279DA">
            <w:pPr>
              <w:pStyle w:val="TableParagraph"/>
              <w:spacing w:line="360" w:lineRule="exact"/>
              <w:ind w:right="56"/>
              <w:jc w:val="both"/>
              <w:rPr>
                <w:sz w:val="18"/>
              </w:rPr>
            </w:pPr>
            <w:r>
              <w:rPr>
                <w:sz w:val="18"/>
              </w:rPr>
              <w:t xml:space="preserve">Délais de livraison en jours calendaires d’une </w:t>
            </w:r>
            <w:r>
              <w:rPr>
                <w:rFonts w:ascii="Arial" w:hAnsi="Arial"/>
                <w:b/>
                <w:sz w:val="18"/>
              </w:rPr>
              <w:t xml:space="preserve">commande urgente </w:t>
            </w:r>
            <w:r>
              <w:rPr>
                <w:sz w:val="18"/>
                <w:u w:val="single"/>
              </w:rPr>
              <w:t>à compter de la date de réception</w:t>
            </w:r>
            <w:r>
              <w:rPr>
                <w:sz w:val="18"/>
              </w:rPr>
              <w:t xml:space="preserve"> </w:t>
            </w:r>
            <w:r>
              <w:rPr>
                <w:sz w:val="18"/>
                <w:u w:val="single"/>
              </w:rPr>
              <w:t>du</w:t>
            </w:r>
            <w:r>
              <w:rPr>
                <w:spacing w:val="40"/>
                <w:sz w:val="18"/>
                <w:u w:val="single"/>
              </w:rPr>
              <w:t xml:space="preserve"> </w:t>
            </w:r>
            <w:r>
              <w:rPr>
                <w:sz w:val="18"/>
                <w:u w:val="single"/>
              </w:rPr>
              <w:t>bon de commande</w:t>
            </w:r>
            <w:r>
              <w:rPr>
                <w:spacing w:val="40"/>
                <w:sz w:val="18"/>
              </w:rPr>
              <w:t xml:space="preserve"> </w:t>
            </w:r>
            <w:r>
              <w:rPr>
                <w:sz w:val="18"/>
              </w:rPr>
              <w:t>jusqu’à</w:t>
            </w:r>
            <w:r>
              <w:rPr>
                <w:spacing w:val="40"/>
                <w:sz w:val="18"/>
              </w:rPr>
              <w:t xml:space="preserve"> </w:t>
            </w:r>
            <w:r>
              <w:rPr>
                <w:sz w:val="18"/>
              </w:rPr>
              <w:t>la livraison dans les locaux de</w:t>
            </w:r>
            <w:r>
              <w:rPr>
                <w:spacing w:val="40"/>
                <w:sz w:val="18"/>
              </w:rPr>
              <w:t xml:space="preserve"> </w:t>
            </w:r>
            <w:r>
              <w:rPr>
                <w:sz w:val="18"/>
              </w:rPr>
              <w:t>l’Université,</w:t>
            </w:r>
            <w:r>
              <w:rPr>
                <w:spacing w:val="40"/>
                <w:sz w:val="18"/>
              </w:rPr>
              <w:t xml:space="preserve"> </w:t>
            </w:r>
            <w:r>
              <w:rPr>
                <w:sz w:val="18"/>
              </w:rPr>
              <w:t>à</w:t>
            </w:r>
            <w:r>
              <w:rPr>
                <w:spacing w:val="40"/>
                <w:sz w:val="18"/>
              </w:rPr>
              <w:t xml:space="preserve"> </w:t>
            </w:r>
            <w:r>
              <w:rPr>
                <w:sz w:val="18"/>
              </w:rPr>
              <w:t>l’exception des</w:t>
            </w:r>
            <w:r>
              <w:rPr>
                <w:spacing w:val="40"/>
                <w:sz w:val="18"/>
              </w:rPr>
              <w:t xml:space="preserve"> </w:t>
            </w:r>
            <w:r>
              <w:rPr>
                <w:sz w:val="18"/>
              </w:rPr>
              <w:t>cas suivants : ouvrage à paraitre, en rupture de stock, en réimpression, épuisé</w:t>
            </w:r>
          </w:p>
        </w:tc>
        <w:tc>
          <w:tcPr>
            <w:tcW w:w="3686" w:type="dxa"/>
            <w:vAlign w:val="center"/>
          </w:tcPr>
          <w:p w14:paraId="795671A8" w14:textId="77777777" w:rsidR="006F574A" w:rsidRDefault="006F574A" w:rsidP="004279DA">
            <w:pPr>
              <w:pStyle w:val="TableParagraph"/>
              <w:ind w:left="9" w:right="1"/>
              <w:jc w:val="center"/>
              <w:rPr>
                <w:sz w:val="18"/>
              </w:rPr>
            </w:pPr>
            <w:r>
              <w:rPr>
                <w:sz w:val="18"/>
              </w:rPr>
              <w:t>15</w:t>
            </w:r>
            <w:r>
              <w:rPr>
                <w:spacing w:val="-4"/>
                <w:sz w:val="18"/>
              </w:rPr>
              <w:t xml:space="preserve"> </w:t>
            </w:r>
            <w:r>
              <w:rPr>
                <w:spacing w:val="-2"/>
                <w:sz w:val="18"/>
              </w:rPr>
              <w:t>jours</w:t>
            </w:r>
          </w:p>
        </w:tc>
        <w:tc>
          <w:tcPr>
            <w:tcW w:w="3686" w:type="dxa"/>
            <w:vAlign w:val="center"/>
          </w:tcPr>
          <w:p w14:paraId="7788AFFE" w14:textId="77777777" w:rsidR="006F574A" w:rsidRDefault="006F574A" w:rsidP="004279DA">
            <w:pPr>
              <w:pStyle w:val="TableParagraph"/>
              <w:ind w:left="9" w:right="1"/>
              <w:jc w:val="center"/>
              <w:rPr>
                <w:sz w:val="18"/>
              </w:rPr>
            </w:pPr>
          </w:p>
        </w:tc>
      </w:tr>
      <w:tr w:rsidR="006F574A" w14:paraId="217451E6" w14:textId="25BE7E13" w:rsidTr="006F574A">
        <w:trPr>
          <w:trHeight w:val="1082"/>
          <w:jc w:val="center"/>
        </w:trPr>
        <w:tc>
          <w:tcPr>
            <w:tcW w:w="7508" w:type="dxa"/>
            <w:vAlign w:val="center"/>
          </w:tcPr>
          <w:p w14:paraId="067DF21A" w14:textId="77777777" w:rsidR="006F574A" w:rsidRDefault="006F574A" w:rsidP="004279DA">
            <w:pPr>
              <w:pStyle w:val="TableParagraph"/>
              <w:spacing w:line="360" w:lineRule="atLeast"/>
              <w:ind w:right="56"/>
              <w:jc w:val="both"/>
              <w:rPr>
                <w:rFonts w:ascii="Arial" w:hAnsi="Arial"/>
                <w:b/>
                <w:sz w:val="18"/>
              </w:rPr>
            </w:pPr>
            <w:r>
              <w:rPr>
                <w:sz w:val="18"/>
              </w:rPr>
              <w:t xml:space="preserve">Délais de livraison en jours calendaires </w:t>
            </w:r>
            <w:r>
              <w:rPr>
                <w:sz w:val="18"/>
                <w:u w:val="single"/>
              </w:rPr>
              <w:t xml:space="preserve">à compter de la date de parution du volume </w:t>
            </w:r>
            <w:r>
              <w:rPr>
                <w:sz w:val="18"/>
              </w:rPr>
              <w:t xml:space="preserve">jusqu’à la livraison dans les locaux de l’Université, d’un volume appartenant à une suite ou collection en </w:t>
            </w:r>
            <w:r>
              <w:rPr>
                <w:rFonts w:ascii="Arial" w:hAnsi="Arial"/>
                <w:b/>
                <w:sz w:val="18"/>
              </w:rPr>
              <w:t xml:space="preserve">commande </w:t>
            </w:r>
            <w:r>
              <w:rPr>
                <w:rFonts w:ascii="Arial" w:hAnsi="Arial"/>
                <w:b/>
                <w:spacing w:val="-2"/>
                <w:sz w:val="18"/>
              </w:rPr>
              <w:t>permanente</w:t>
            </w:r>
          </w:p>
        </w:tc>
        <w:tc>
          <w:tcPr>
            <w:tcW w:w="3686" w:type="dxa"/>
            <w:vAlign w:val="center"/>
          </w:tcPr>
          <w:p w14:paraId="5D159EA7" w14:textId="77777777" w:rsidR="006F574A" w:rsidRDefault="006F574A" w:rsidP="004279DA">
            <w:pPr>
              <w:pStyle w:val="TableParagraph"/>
              <w:ind w:left="9" w:right="1"/>
              <w:jc w:val="center"/>
              <w:rPr>
                <w:sz w:val="18"/>
              </w:rPr>
            </w:pPr>
            <w:r>
              <w:rPr>
                <w:sz w:val="18"/>
              </w:rPr>
              <w:t>15</w:t>
            </w:r>
            <w:r>
              <w:rPr>
                <w:spacing w:val="-4"/>
                <w:sz w:val="18"/>
              </w:rPr>
              <w:t xml:space="preserve"> </w:t>
            </w:r>
            <w:r>
              <w:rPr>
                <w:spacing w:val="-2"/>
                <w:sz w:val="18"/>
              </w:rPr>
              <w:t>jours</w:t>
            </w:r>
          </w:p>
        </w:tc>
        <w:tc>
          <w:tcPr>
            <w:tcW w:w="3686" w:type="dxa"/>
            <w:vAlign w:val="center"/>
          </w:tcPr>
          <w:p w14:paraId="17F77466" w14:textId="77777777" w:rsidR="006F574A" w:rsidRDefault="006F574A" w:rsidP="004279DA">
            <w:pPr>
              <w:pStyle w:val="TableParagraph"/>
              <w:ind w:left="9" w:right="1"/>
              <w:jc w:val="center"/>
              <w:rPr>
                <w:sz w:val="18"/>
              </w:rPr>
            </w:pPr>
          </w:p>
        </w:tc>
      </w:tr>
      <w:tr w:rsidR="006F574A" w14:paraId="69600CEA" w14:textId="51A6DB8D" w:rsidTr="00AB7DD2">
        <w:trPr>
          <w:trHeight w:val="718"/>
          <w:jc w:val="center"/>
        </w:trPr>
        <w:tc>
          <w:tcPr>
            <w:tcW w:w="7508" w:type="dxa"/>
            <w:vAlign w:val="center"/>
          </w:tcPr>
          <w:p w14:paraId="0676A73F" w14:textId="77777777" w:rsidR="006F574A" w:rsidRDefault="006F574A" w:rsidP="004279DA">
            <w:pPr>
              <w:pStyle w:val="TableParagraph"/>
              <w:spacing w:line="360" w:lineRule="exact"/>
              <w:ind w:right="56"/>
              <w:rPr>
                <w:sz w:val="18"/>
              </w:rPr>
            </w:pPr>
            <w:r>
              <w:rPr>
                <w:sz w:val="18"/>
              </w:rPr>
              <w:t>Délais</w:t>
            </w:r>
            <w:r>
              <w:rPr>
                <w:spacing w:val="22"/>
                <w:sz w:val="18"/>
              </w:rPr>
              <w:t xml:space="preserve"> </w:t>
            </w:r>
            <w:r>
              <w:rPr>
                <w:sz w:val="18"/>
              </w:rPr>
              <w:t>d’information</w:t>
            </w:r>
            <w:r>
              <w:rPr>
                <w:spacing w:val="22"/>
                <w:sz w:val="18"/>
              </w:rPr>
              <w:t xml:space="preserve"> </w:t>
            </w:r>
            <w:r>
              <w:rPr>
                <w:sz w:val="18"/>
              </w:rPr>
              <w:t>en</w:t>
            </w:r>
            <w:r>
              <w:rPr>
                <w:spacing w:val="22"/>
                <w:sz w:val="18"/>
              </w:rPr>
              <w:t xml:space="preserve"> </w:t>
            </w:r>
            <w:r>
              <w:rPr>
                <w:sz w:val="18"/>
              </w:rPr>
              <w:t>jours calendaires</w:t>
            </w:r>
            <w:r>
              <w:rPr>
                <w:spacing w:val="20"/>
                <w:sz w:val="18"/>
              </w:rPr>
              <w:t xml:space="preserve"> </w:t>
            </w:r>
            <w:r>
              <w:rPr>
                <w:sz w:val="18"/>
              </w:rPr>
              <w:t>relative</w:t>
            </w:r>
            <w:r>
              <w:rPr>
                <w:spacing w:val="22"/>
                <w:sz w:val="18"/>
              </w:rPr>
              <w:t xml:space="preserve"> </w:t>
            </w:r>
            <w:r>
              <w:rPr>
                <w:sz w:val="18"/>
              </w:rPr>
              <w:t>aux ouvrages</w:t>
            </w:r>
            <w:r>
              <w:rPr>
                <w:spacing w:val="20"/>
                <w:sz w:val="18"/>
              </w:rPr>
              <w:t xml:space="preserve"> </w:t>
            </w:r>
            <w:r>
              <w:rPr>
                <w:sz w:val="18"/>
              </w:rPr>
              <w:t>non</w:t>
            </w:r>
            <w:r>
              <w:rPr>
                <w:spacing w:val="26"/>
                <w:sz w:val="18"/>
              </w:rPr>
              <w:t xml:space="preserve"> </w:t>
            </w:r>
            <w:r>
              <w:rPr>
                <w:sz w:val="18"/>
              </w:rPr>
              <w:t>fournis</w:t>
            </w:r>
            <w:r>
              <w:rPr>
                <w:spacing w:val="21"/>
                <w:sz w:val="18"/>
              </w:rPr>
              <w:t xml:space="preserve"> </w:t>
            </w:r>
            <w:r>
              <w:rPr>
                <w:sz w:val="18"/>
                <w:u w:val="single"/>
              </w:rPr>
              <w:t>à</w:t>
            </w:r>
            <w:r>
              <w:rPr>
                <w:spacing w:val="22"/>
                <w:sz w:val="18"/>
                <w:u w:val="single"/>
              </w:rPr>
              <w:t xml:space="preserve"> </w:t>
            </w:r>
            <w:r>
              <w:rPr>
                <w:sz w:val="18"/>
                <w:u w:val="single"/>
              </w:rPr>
              <w:t>compter</w:t>
            </w:r>
            <w:r>
              <w:rPr>
                <w:spacing w:val="22"/>
                <w:sz w:val="18"/>
                <w:u w:val="single"/>
              </w:rPr>
              <w:t xml:space="preserve"> </w:t>
            </w:r>
            <w:r>
              <w:rPr>
                <w:sz w:val="18"/>
                <w:u w:val="single"/>
              </w:rPr>
              <w:t>de</w:t>
            </w:r>
            <w:r>
              <w:rPr>
                <w:spacing w:val="22"/>
                <w:sz w:val="18"/>
                <w:u w:val="single"/>
              </w:rPr>
              <w:t xml:space="preserve"> </w:t>
            </w:r>
            <w:r>
              <w:rPr>
                <w:sz w:val="18"/>
                <w:u w:val="single"/>
              </w:rPr>
              <w:t>la</w:t>
            </w:r>
            <w:r>
              <w:rPr>
                <w:spacing w:val="22"/>
                <w:sz w:val="18"/>
                <w:u w:val="single"/>
              </w:rPr>
              <w:t xml:space="preserve"> </w:t>
            </w:r>
            <w:r>
              <w:rPr>
                <w:sz w:val="18"/>
                <w:u w:val="single"/>
              </w:rPr>
              <w:t>date</w:t>
            </w:r>
            <w:r>
              <w:rPr>
                <w:spacing w:val="22"/>
                <w:sz w:val="18"/>
                <w:u w:val="single"/>
              </w:rPr>
              <w:t xml:space="preserve"> </w:t>
            </w:r>
            <w:r>
              <w:rPr>
                <w:sz w:val="18"/>
                <w:u w:val="single"/>
              </w:rPr>
              <w:t>de</w:t>
            </w:r>
            <w:r>
              <w:rPr>
                <w:sz w:val="18"/>
              </w:rPr>
              <w:t xml:space="preserve"> </w:t>
            </w:r>
            <w:r>
              <w:rPr>
                <w:sz w:val="18"/>
                <w:u w:val="single"/>
              </w:rPr>
              <w:t>réception du bon de commande</w:t>
            </w:r>
          </w:p>
        </w:tc>
        <w:tc>
          <w:tcPr>
            <w:tcW w:w="3686" w:type="dxa"/>
            <w:vAlign w:val="center"/>
          </w:tcPr>
          <w:p w14:paraId="7EFDCAF5" w14:textId="77777777" w:rsidR="006F574A" w:rsidRDefault="006F574A" w:rsidP="004279DA">
            <w:pPr>
              <w:pStyle w:val="TableParagraph"/>
              <w:ind w:left="9" w:right="1"/>
              <w:jc w:val="center"/>
              <w:rPr>
                <w:sz w:val="18"/>
              </w:rPr>
            </w:pPr>
            <w:r>
              <w:rPr>
                <w:sz w:val="18"/>
              </w:rPr>
              <w:t>25</w:t>
            </w:r>
            <w:r>
              <w:rPr>
                <w:spacing w:val="-4"/>
                <w:sz w:val="18"/>
              </w:rPr>
              <w:t xml:space="preserve"> </w:t>
            </w:r>
            <w:r>
              <w:rPr>
                <w:spacing w:val="-2"/>
                <w:sz w:val="18"/>
              </w:rPr>
              <w:t>jours</w:t>
            </w:r>
          </w:p>
        </w:tc>
        <w:tc>
          <w:tcPr>
            <w:tcW w:w="3686" w:type="dxa"/>
            <w:vAlign w:val="center"/>
          </w:tcPr>
          <w:p w14:paraId="0941886B" w14:textId="77777777" w:rsidR="006F574A" w:rsidRDefault="006F574A" w:rsidP="004279DA">
            <w:pPr>
              <w:pStyle w:val="TableParagraph"/>
              <w:ind w:left="9" w:right="1"/>
              <w:jc w:val="center"/>
              <w:rPr>
                <w:sz w:val="18"/>
              </w:rPr>
            </w:pPr>
          </w:p>
        </w:tc>
      </w:tr>
      <w:tr w:rsidR="006F574A" w14:paraId="4F4F8DA7" w14:textId="7AF28973" w:rsidTr="006F574A">
        <w:trPr>
          <w:trHeight w:val="846"/>
          <w:jc w:val="center"/>
        </w:trPr>
        <w:tc>
          <w:tcPr>
            <w:tcW w:w="7508" w:type="dxa"/>
            <w:vAlign w:val="center"/>
          </w:tcPr>
          <w:p w14:paraId="24DC6D36" w14:textId="77777777" w:rsidR="006F574A" w:rsidRDefault="006F574A" w:rsidP="004279DA">
            <w:pPr>
              <w:pStyle w:val="TableParagraph"/>
              <w:spacing w:line="360" w:lineRule="exact"/>
              <w:ind w:right="56"/>
              <w:rPr>
                <w:sz w:val="18"/>
              </w:rPr>
            </w:pPr>
            <w:r>
              <w:rPr>
                <w:sz w:val="18"/>
              </w:rPr>
              <w:t xml:space="preserve">Délais de réponse en jours calendaires à une réclamation de l’Université </w:t>
            </w:r>
            <w:r>
              <w:rPr>
                <w:sz w:val="18"/>
                <w:u w:val="single"/>
              </w:rPr>
              <w:t>à compter de sa notification</w:t>
            </w:r>
            <w:r>
              <w:rPr>
                <w:sz w:val="18"/>
              </w:rPr>
              <w:t xml:space="preserve"> </w:t>
            </w:r>
            <w:r>
              <w:rPr>
                <w:sz w:val="18"/>
                <w:u w:val="single"/>
              </w:rPr>
              <w:t>par courrier électronique</w:t>
            </w:r>
          </w:p>
        </w:tc>
        <w:tc>
          <w:tcPr>
            <w:tcW w:w="3686" w:type="dxa"/>
            <w:vAlign w:val="center"/>
          </w:tcPr>
          <w:p w14:paraId="0CD12A47" w14:textId="77777777" w:rsidR="006F574A" w:rsidRDefault="006F574A" w:rsidP="004279DA">
            <w:pPr>
              <w:pStyle w:val="TableParagraph"/>
              <w:ind w:left="9" w:right="1"/>
              <w:jc w:val="center"/>
              <w:rPr>
                <w:sz w:val="18"/>
              </w:rPr>
            </w:pPr>
            <w:r>
              <w:rPr>
                <w:sz w:val="18"/>
              </w:rPr>
              <w:t>7</w:t>
            </w:r>
            <w:r>
              <w:rPr>
                <w:spacing w:val="-3"/>
                <w:sz w:val="18"/>
              </w:rPr>
              <w:t xml:space="preserve"> </w:t>
            </w:r>
            <w:r>
              <w:rPr>
                <w:spacing w:val="-2"/>
                <w:sz w:val="18"/>
              </w:rPr>
              <w:t>jours</w:t>
            </w:r>
          </w:p>
        </w:tc>
        <w:tc>
          <w:tcPr>
            <w:tcW w:w="3686" w:type="dxa"/>
            <w:vAlign w:val="center"/>
          </w:tcPr>
          <w:p w14:paraId="458FF3A4" w14:textId="77777777" w:rsidR="006F574A" w:rsidRDefault="006F574A" w:rsidP="004279DA">
            <w:pPr>
              <w:pStyle w:val="TableParagraph"/>
              <w:ind w:left="9" w:right="1"/>
              <w:jc w:val="center"/>
              <w:rPr>
                <w:sz w:val="18"/>
              </w:rPr>
            </w:pPr>
          </w:p>
        </w:tc>
      </w:tr>
    </w:tbl>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03C835" w14:textId="77777777" w:rsidR="00A371E4" w:rsidRDefault="00A371E4" w:rsidP="00764E60">
      <w:r>
        <w:separator/>
      </w:r>
    </w:p>
  </w:endnote>
  <w:endnote w:type="continuationSeparator" w:id="0">
    <w:p w14:paraId="1B74FE88" w14:textId="77777777" w:rsidR="00A371E4" w:rsidRDefault="00A371E4"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MT">
    <w:altName w:val="Arial"/>
    <w:charset w:val="01"/>
    <w:family w:val="swiss"/>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1AB79EC1" w:rsidR="00F441D7" w:rsidRDefault="00F441D7">
    <w:pPr>
      <w:pStyle w:val="Pieddepage"/>
    </w:pPr>
    <w:r>
      <w:t>2</w:t>
    </w:r>
    <w:r w:rsidR="00D50B09">
      <w:t>5</w:t>
    </w:r>
    <w:r>
      <w:t>M</w:t>
    </w:r>
    <w:r w:rsidR="00D50B09">
      <w:t>16</w:t>
    </w:r>
    <w:r>
      <w:t>/</w:t>
    </w:r>
    <w:r w:rsidR="006E47D0">
      <w:t xml:space="preserve">LOT </w:t>
    </w:r>
    <w:r w:rsidR="004458AE">
      <w:t>2</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2E9659" w14:textId="77777777" w:rsidR="00A371E4" w:rsidRDefault="00A371E4" w:rsidP="00764E60">
      <w:r>
        <w:separator/>
      </w:r>
    </w:p>
  </w:footnote>
  <w:footnote w:type="continuationSeparator" w:id="0">
    <w:p w14:paraId="426BB757" w14:textId="77777777" w:rsidR="00A371E4" w:rsidRDefault="00A371E4"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357F2"/>
    <w:rsid w:val="000360A5"/>
    <w:rsid w:val="00085DA1"/>
    <w:rsid w:val="000C4B6C"/>
    <w:rsid w:val="000D7AA8"/>
    <w:rsid w:val="0012474A"/>
    <w:rsid w:val="001717FA"/>
    <w:rsid w:val="00196F75"/>
    <w:rsid w:val="001A4638"/>
    <w:rsid w:val="001A66B4"/>
    <w:rsid w:val="001B7DB2"/>
    <w:rsid w:val="001C124F"/>
    <w:rsid w:val="001E2668"/>
    <w:rsid w:val="0020313B"/>
    <w:rsid w:val="00211B33"/>
    <w:rsid w:val="00226DD1"/>
    <w:rsid w:val="00232C7C"/>
    <w:rsid w:val="00244D8C"/>
    <w:rsid w:val="002532A8"/>
    <w:rsid w:val="00287737"/>
    <w:rsid w:val="00294BD4"/>
    <w:rsid w:val="002D0427"/>
    <w:rsid w:val="002D090A"/>
    <w:rsid w:val="002D1944"/>
    <w:rsid w:val="002E188A"/>
    <w:rsid w:val="002E57DD"/>
    <w:rsid w:val="00303508"/>
    <w:rsid w:val="00303BEF"/>
    <w:rsid w:val="00331522"/>
    <w:rsid w:val="00332CAA"/>
    <w:rsid w:val="00362124"/>
    <w:rsid w:val="00364414"/>
    <w:rsid w:val="0039705F"/>
    <w:rsid w:val="003A4FB8"/>
    <w:rsid w:val="003B0152"/>
    <w:rsid w:val="003C6E6C"/>
    <w:rsid w:val="003D1041"/>
    <w:rsid w:val="00406B51"/>
    <w:rsid w:val="004107CA"/>
    <w:rsid w:val="00430734"/>
    <w:rsid w:val="00433603"/>
    <w:rsid w:val="004458AE"/>
    <w:rsid w:val="00457107"/>
    <w:rsid w:val="004654D4"/>
    <w:rsid w:val="00483317"/>
    <w:rsid w:val="0048613E"/>
    <w:rsid w:val="00491BAE"/>
    <w:rsid w:val="00492F53"/>
    <w:rsid w:val="004A1838"/>
    <w:rsid w:val="004B2083"/>
    <w:rsid w:val="004B7637"/>
    <w:rsid w:val="004C4A73"/>
    <w:rsid w:val="004E0FF1"/>
    <w:rsid w:val="004E6F90"/>
    <w:rsid w:val="004E7F68"/>
    <w:rsid w:val="004F0909"/>
    <w:rsid w:val="005149AD"/>
    <w:rsid w:val="0052468E"/>
    <w:rsid w:val="00535901"/>
    <w:rsid w:val="00540CD1"/>
    <w:rsid w:val="0054210D"/>
    <w:rsid w:val="005441DA"/>
    <w:rsid w:val="00567080"/>
    <w:rsid w:val="00570BEA"/>
    <w:rsid w:val="005B37E8"/>
    <w:rsid w:val="005E538B"/>
    <w:rsid w:val="005F47B3"/>
    <w:rsid w:val="00614E46"/>
    <w:rsid w:val="00617DDB"/>
    <w:rsid w:val="00632CE1"/>
    <w:rsid w:val="0063376D"/>
    <w:rsid w:val="0064751C"/>
    <w:rsid w:val="00665881"/>
    <w:rsid w:val="006705DD"/>
    <w:rsid w:val="006777BD"/>
    <w:rsid w:val="0068185A"/>
    <w:rsid w:val="00683971"/>
    <w:rsid w:val="006975C3"/>
    <w:rsid w:val="006A20B2"/>
    <w:rsid w:val="006C333D"/>
    <w:rsid w:val="006C4B07"/>
    <w:rsid w:val="006E2AF2"/>
    <w:rsid w:val="006E47D0"/>
    <w:rsid w:val="006F529C"/>
    <w:rsid w:val="006F574A"/>
    <w:rsid w:val="007115B4"/>
    <w:rsid w:val="00711B52"/>
    <w:rsid w:val="0072187D"/>
    <w:rsid w:val="0072516A"/>
    <w:rsid w:val="007262DF"/>
    <w:rsid w:val="00764E60"/>
    <w:rsid w:val="0076770D"/>
    <w:rsid w:val="00791DFB"/>
    <w:rsid w:val="007A1323"/>
    <w:rsid w:val="007A7267"/>
    <w:rsid w:val="007B2527"/>
    <w:rsid w:val="007D4ED7"/>
    <w:rsid w:val="007D694E"/>
    <w:rsid w:val="007E06B0"/>
    <w:rsid w:val="007E7C44"/>
    <w:rsid w:val="007F4E7D"/>
    <w:rsid w:val="0080034B"/>
    <w:rsid w:val="00813787"/>
    <w:rsid w:val="00846516"/>
    <w:rsid w:val="008541C4"/>
    <w:rsid w:val="00854F2F"/>
    <w:rsid w:val="008A4B22"/>
    <w:rsid w:val="008E1705"/>
    <w:rsid w:val="008E458D"/>
    <w:rsid w:val="00923B92"/>
    <w:rsid w:val="00927585"/>
    <w:rsid w:val="00936D6A"/>
    <w:rsid w:val="00941A19"/>
    <w:rsid w:val="0096354E"/>
    <w:rsid w:val="00964F6F"/>
    <w:rsid w:val="0098548E"/>
    <w:rsid w:val="0098746D"/>
    <w:rsid w:val="00992E9E"/>
    <w:rsid w:val="00993507"/>
    <w:rsid w:val="009A066C"/>
    <w:rsid w:val="009B4AA9"/>
    <w:rsid w:val="009C0C52"/>
    <w:rsid w:val="009F54B7"/>
    <w:rsid w:val="00A04CDA"/>
    <w:rsid w:val="00A371E4"/>
    <w:rsid w:val="00A44117"/>
    <w:rsid w:val="00A73A48"/>
    <w:rsid w:val="00A9144D"/>
    <w:rsid w:val="00A92265"/>
    <w:rsid w:val="00AB1FD5"/>
    <w:rsid w:val="00AB3019"/>
    <w:rsid w:val="00AB7DD2"/>
    <w:rsid w:val="00AD26D0"/>
    <w:rsid w:val="00AE016E"/>
    <w:rsid w:val="00AE68FC"/>
    <w:rsid w:val="00B03D3F"/>
    <w:rsid w:val="00B232B2"/>
    <w:rsid w:val="00B37125"/>
    <w:rsid w:val="00B46FE7"/>
    <w:rsid w:val="00B72055"/>
    <w:rsid w:val="00B94F85"/>
    <w:rsid w:val="00BA481E"/>
    <w:rsid w:val="00BA5328"/>
    <w:rsid w:val="00BC444B"/>
    <w:rsid w:val="00BE6DA2"/>
    <w:rsid w:val="00C02515"/>
    <w:rsid w:val="00C05499"/>
    <w:rsid w:val="00C059A2"/>
    <w:rsid w:val="00C3542D"/>
    <w:rsid w:val="00C36845"/>
    <w:rsid w:val="00C47126"/>
    <w:rsid w:val="00C540AB"/>
    <w:rsid w:val="00C550FF"/>
    <w:rsid w:val="00C614F6"/>
    <w:rsid w:val="00CD1482"/>
    <w:rsid w:val="00D26161"/>
    <w:rsid w:val="00D2681F"/>
    <w:rsid w:val="00D315E6"/>
    <w:rsid w:val="00D50A44"/>
    <w:rsid w:val="00D50B09"/>
    <w:rsid w:val="00D538E5"/>
    <w:rsid w:val="00D705F8"/>
    <w:rsid w:val="00D725B7"/>
    <w:rsid w:val="00D858CF"/>
    <w:rsid w:val="00DC71F1"/>
    <w:rsid w:val="00DE0E8B"/>
    <w:rsid w:val="00DE460A"/>
    <w:rsid w:val="00DF21B4"/>
    <w:rsid w:val="00E271E1"/>
    <w:rsid w:val="00E362DA"/>
    <w:rsid w:val="00E62526"/>
    <w:rsid w:val="00E87EFA"/>
    <w:rsid w:val="00EA369A"/>
    <w:rsid w:val="00EB3153"/>
    <w:rsid w:val="00EC4E9F"/>
    <w:rsid w:val="00EF597A"/>
    <w:rsid w:val="00F26F9E"/>
    <w:rsid w:val="00F36978"/>
    <w:rsid w:val="00F441D7"/>
    <w:rsid w:val="00F50966"/>
    <w:rsid w:val="00F51277"/>
    <w:rsid w:val="00F631E1"/>
    <w:rsid w:val="00F91740"/>
    <w:rsid w:val="00F94E82"/>
    <w:rsid w:val="00FA20B6"/>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 w:type="paragraph" w:customStyle="1" w:styleId="TableParagraph">
    <w:name w:val="Table Paragraph"/>
    <w:basedOn w:val="Normal"/>
    <w:uiPriority w:val="1"/>
    <w:qFormat/>
    <w:rsid w:val="007A1323"/>
    <w:pPr>
      <w:widowControl w:val="0"/>
      <w:autoSpaceDE w:val="0"/>
      <w:autoSpaceDN w:val="0"/>
      <w:ind w:left="71"/>
    </w:pPr>
    <w:rPr>
      <w:rFonts w:ascii="Arial MT" w:eastAsia="Arial MT" w:hAnsi="Arial MT" w:cs="Arial MT"/>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2.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3.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340</Words>
  <Characters>1875</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2211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6</cp:revision>
  <cp:lastPrinted>2021-05-14T12:32:00Z</cp:lastPrinted>
  <dcterms:created xsi:type="dcterms:W3CDTF">2025-07-03T14:47:00Z</dcterms:created>
  <dcterms:modified xsi:type="dcterms:W3CDTF">2025-07-17T08:56:00Z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